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402" w:rsidRPr="00C62402" w:rsidRDefault="00C62402" w:rsidP="00C911B0">
      <w:pPr>
        <w:spacing w:after="0" w:line="240" w:lineRule="auto"/>
        <w:ind w:left="0" w:firstLine="567"/>
        <w:jc w:val="center"/>
        <w:rPr>
          <w:b/>
          <w:sz w:val="30"/>
        </w:rPr>
      </w:pPr>
      <w:r w:rsidRPr="00C62402">
        <w:rPr>
          <w:b/>
          <w:sz w:val="30"/>
        </w:rPr>
        <w:t>АНАЛИТИЧЕСКАЯ СПРАВКА</w:t>
      </w:r>
    </w:p>
    <w:p w:rsidR="00C62402" w:rsidRPr="00C62402" w:rsidRDefault="00C62402" w:rsidP="00C911B0">
      <w:pPr>
        <w:spacing w:after="327"/>
        <w:ind w:left="0" w:firstLine="567"/>
        <w:rPr>
          <w:b/>
        </w:rPr>
      </w:pPr>
      <w:r w:rsidRPr="00C62402">
        <w:rPr>
          <w:b/>
          <w:sz w:val="30"/>
        </w:rPr>
        <w:t>коммунального государственного учреждения «Центр социальных услуг «Алатау» Управления социального благосостояния города Алматы по результатам внутреннего анализа коррупционных рисков</w:t>
      </w:r>
    </w:p>
    <w:p w:rsidR="00C62402" w:rsidRDefault="00C62402" w:rsidP="00C911B0">
      <w:pPr>
        <w:ind w:left="0" w:right="4" w:firstLine="567"/>
      </w:pPr>
      <w:r>
        <w:t xml:space="preserve">Полное наименование объекта внутреннего анализа: </w:t>
      </w:r>
      <w:r>
        <w:rPr>
          <w:noProof/>
        </w:rPr>
        <w:t xml:space="preserve">коммунальное </w:t>
      </w:r>
      <w:r>
        <w:t>государственное учреждение «Центр социальных услуг «Алатау» Управления социального благосостояния города Алматы (далее - Центр),</w:t>
      </w:r>
    </w:p>
    <w:p w:rsidR="00C62402" w:rsidRDefault="00C62402" w:rsidP="00C911B0">
      <w:pPr>
        <w:ind w:left="14" w:right="4" w:firstLine="567"/>
      </w:pPr>
      <w:r>
        <w:t xml:space="preserve">Основание проведения внутреннего анализа: Приказ директора Центра от </w:t>
      </w:r>
      <w:r w:rsidR="00A9775C">
        <w:t>12</w:t>
      </w:r>
      <w:r w:rsidR="003A46A4">
        <w:t xml:space="preserve"> апреля 2022 года №</w:t>
      </w:r>
      <w:r w:rsidR="00A9775C">
        <w:t>20</w:t>
      </w:r>
      <w:bookmarkStart w:id="0" w:name="_GoBack"/>
      <w:bookmarkEnd w:id="0"/>
      <w:r w:rsidR="003A46A4" w:rsidRPr="003A46A4">
        <w:t>п</w:t>
      </w:r>
    </w:p>
    <w:p w:rsidR="00C62402" w:rsidRDefault="00C62402" w:rsidP="00C911B0">
      <w:pPr>
        <w:spacing w:after="40"/>
        <w:ind w:left="14" w:right="4" w:firstLine="567"/>
      </w:pPr>
      <w:r>
        <w:t xml:space="preserve">Период проведения внутреннего анализа: 14 апреля по </w:t>
      </w:r>
      <w:r>
        <w:rPr>
          <w:noProof/>
        </w:rPr>
        <w:t>15 июня</w:t>
      </w:r>
      <w:r>
        <w:t xml:space="preserve"> 2022 года.</w:t>
      </w:r>
    </w:p>
    <w:p w:rsidR="00C62402" w:rsidRDefault="00C62402" w:rsidP="00C911B0">
      <w:pPr>
        <w:ind w:left="0" w:right="60" w:firstLine="567"/>
      </w:pPr>
      <w:r>
        <w:t>Анализируемый период деятельности объекта внутреннего анализа:</w:t>
      </w:r>
    </w:p>
    <w:p w:rsidR="00C62402" w:rsidRDefault="00C62402" w:rsidP="00C911B0">
      <w:pPr>
        <w:ind w:left="0" w:right="1065" w:firstLine="567"/>
      </w:pPr>
      <w:r>
        <w:rPr>
          <w:lang w:val="en-US"/>
        </w:rPr>
        <w:t>I</w:t>
      </w:r>
      <w:r w:rsidRPr="00C62402">
        <w:t xml:space="preserve"> </w:t>
      </w:r>
      <w:r>
        <w:t>и П квартал 2022 года.</w:t>
      </w:r>
    </w:p>
    <w:p w:rsidR="00C62402" w:rsidRDefault="00C62402" w:rsidP="00C911B0">
      <w:pPr>
        <w:ind w:left="14" w:right="4" w:firstLine="567"/>
      </w:pPr>
      <w:r>
        <w:t>Анализ проведен по направлениям:</w:t>
      </w:r>
    </w:p>
    <w:p w:rsidR="00C62402" w:rsidRDefault="00C62402" w:rsidP="00C911B0">
      <w:pPr>
        <w:spacing w:after="0" w:line="259" w:lineRule="auto"/>
        <w:ind w:left="10" w:right="71" w:firstLine="567"/>
      </w:pPr>
      <w:r>
        <w:rPr>
          <w:noProof/>
        </w:rPr>
        <w:drawing>
          <wp:inline distT="0" distB="0" distL="0" distR="0" wp14:anchorId="24FC7CD6" wp14:editId="054DD904">
            <wp:extent cx="6094" cy="6097"/>
            <wp:effectExtent l="0" t="0" r="0" b="0"/>
            <wp:docPr id="4" name="Picture 14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9" name="Picture 146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1) выявление коррупционных рисков в действующих правовых актах;</w:t>
      </w:r>
    </w:p>
    <w:p w:rsidR="00C62402" w:rsidRDefault="00C62402" w:rsidP="00C911B0">
      <w:pPr>
        <w:spacing w:after="5" w:line="259" w:lineRule="auto"/>
        <w:ind w:firstLine="567"/>
      </w:pPr>
      <w:r>
        <w:t>2) выявление коррупционных рисков во внутренних документах;</w:t>
      </w:r>
    </w:p>
    <w:p w:rsidR="00C62402" w:rsidRDefault="00C62402" w:rsidP="00A9775C">
      <w:pPr>
        <w:spacing w:after="0"/>
        <w:ind w:left="14" w:right="4" w:firstLine="567"/>
      </w:pPr>
      <w:r>
        <w:t>3) выявление коррупционных рисков, связанных с управлением персонала.</w:t>
      </w:r>
    </w:p>
    <w:p w:rsidR="00A9775C" w:rsidRDefault="00A9775C" w:rsidP="00A9775C">
      <w:pPr>
        <w:spacing w:after="0"/>
        <w:ind w:left="14" w:right="4" w:firstLine="567"/>
      </w:pPr>
    </w:p>
    <w:p w:rsidR="00C62402" w:rsidRDefault="00C62402" w:rsidP="00C911B0">
      <w:pPr>
        <w:spacing w:after="13"/>
        <w:ind w:left="62" w:firstLine="567"/>
      </w:pPr>
      <w:r>
        <w:rPr>
          <w:sz w:val="30"/>
        </w:rPr>
        <w:t>1.Выявление коррупционных рисков в нормативных правовых актах, затрагивающих деятельность Центра.</w:t>
      </w:r>
    </w:p>
    <w:p w:rsidR="00C62402" w:rsidRDefault="00C62402" w:rsidP="00C911B0">
      <w:pPr>
        <w:ind w:left="14" w:right="4" w:firstLine="567"/>
      </w:pPr>
      <w:r>
        <w:t xml:space="preserve">Государственное учреждение </w:t>
      </w:r>
      <w:r w:rsidR="0090204C">
        <w:t xml:space="preserve">реорганизовано постановлением </w:t>
      </w:r>
      <w:proofErr w:type="spellStart"/>
      <w:r w:rsidR="0090204C">
        <w:t>аки</w:t>
      </w:r>
      <w:r>
        <w:t>мата</w:t>
      </w:r>
      <w:proofErr w:type="spellEnd"/>
      <w:r>
        <w:t xml:space="preserve"> г. Алматы № </w:t>
      </w:r>
      <w:r w:rsidR="0090204C">
        <w:t>3/403</w:t>
      </w:r>
      <w:r>
        <w:t xml:space="preserve"> года </w:t>
      </w:r>
      <w:r w:rsidR="0090204C">
        <w:t xml:space="preserve">от 4 августа 2021 года </w:t>
      </w:r>
      <w:r>
        <w:t xml:space="preserve">«О </w:t>
      </w:r>
      <w:r w:rsidR="0090204C">
        <w:t>некоторых вопросах реорганизации коммунального государственного учреждения «Центр социальных услуг «Алатау</w:t>
      </w:r>
      <w:r>
        <w:t>» Управления занятости и социальных программ города Алматы.</w:t>
      </w:r>
    </w:p>
    <w:p w:rsidR="0098432D" w:rsidRDefault="00C62402" w:rsidP="00C911B0">
      <w:pPr>
        <w:spacing w:after="38"/>
        <w:ind w:left="14" w:right="4" w:firstLine="567"/>
      </w:pPr>
      <w:r>
        <w:t xml:space="preserve">Центр в своей деятельности руководствуется </w:t>
      </w:r>
      <w:r w:rsidR="0090204C">
        <w:t>следующими нормативно-</w:t>
      </w:r>
      <w:r>
        <w:t xml:space="preserve"> правовым</w:t>
      </w:r>
      <w:r w:rsidR="006B3BF1">
        <w:t>и актами: Трудовым кодексом Респ</w:t>
      </w:r>
      <w:r>
        <w:t>ублики Казахстан от 2</w:t>
      </w:r>
      <w:r w:rsidR="0090204C">
        <w:t>3 ноября 2015 года,</w:t>
      </w:r>
      <w:r w:rsidR="006B3BF1" w:rsidRPr="006B3BF1">
        <w:t xml:space="preserve"> А</w:t>
      </w:r>
      <w:r w:rsidR="006B3BF1">
        <w:t>дминистративным процедурно-процессуальным кодексом Республики Казахстан от 29 июня 2020 года,</w:t>
      </w:r>
      <w:r w:rsidR="0098432D">
        <w:t xml:space="preserve"> Кодексом Республики Казахстан</w:t>
      </w:r>
      <w:r w:rsidR="0090204C">
        <w:t xml:space="preserve"> </w:t>
      </w:r>
      <w:r w:rsidR="0098432D">
        <w:t>«</w:t>
      </w:r>
      <w:r w:rsidR="0098432D" w:rsidRPr="0098432D">
        <w:t xml:space="preserve">О </w:t>
      </w:r>
      <w:r w:rsidR="0098432D">
        <w:t xml:space="preserve">здоровье народа и системе здравоохранения» </w:t>
      </w:r>
      <w:r w:rsidR="0098432D" w:rsidRPr="0098432D">
        <w:t>от 7 июля 2020 года</w:t>
      </w:r>
      <w:r w:rsidR="0098432D">
        <w:t xml:space="preserve">, </w:t>
      </w:r>
      <w:r w:rsidR="0090204C">
        <w:t>законами</w:t>
      </w:r>
      <w:r w:rsidR="0098432D">
        <w:t xml:space="preserve"> </w:t>
      </w:r>
      <w:r w:rsidR="0098432D" w:rsidRPr="0098432D">
        <w:t>от 13 апреля 2005 года</w:t>
      </w:r>
      <w:r w:rsidR="0098432D">
        <w:t xml:space="preserve"> «</w:t>
      </w:r>
      <w:r w:rsidR="0098432D" w:rsidRPr="0098432D">
        <w:t>О социальной защите инвалидов в Республике Казахстан</w:t>
      </w:r>
      <w:r w:rsidR="0098432D">
        <w:t>»,</w:t>
      </w:r>
      <w:r w:rsidR="0090204C">
        <w:t xml:space="preserve"> от 29 декабря 2008 года «О с</w:t>
      </w:r>
      <w:r>
        <w:t>п</w:t>
      </w:r>
      <w:r w:rsidR="0090204C">
        <w:t>ециальных</w:t>
      </w:r>
      <w:r>
        <w:t xml:space="preserve"> социальных услугах», от 4 декабря 2015 года «О государственных закупках», от 15 апреля 2013 го</w:t>
      </w:r>
      <w:r w:rsidR="0098432D">
        <w:t>да «О государственных услугах»</w:t>
      </w:r>
      <w:r w:rsidR="006B3BF1">
        <w:t>, от 26 марта 2015 года N</w:t>
      </w:r>
      <w:r>
        <w:t>165 «Об утве</w:t>
      </w:r>
      <w:r w:rsidR="0090204C">
        <w:t>рждении стандартов оказания специ</w:t>
      </w:r>
      <w:r>
        <w:t>альных социальных услуг в области социальной защиты населения</w:t>
      </w:r>
      <w:r w:rsidR="006B3BF1">
        <w:t>».</w:t>
      </w:r>
    </w:p>
    <w:p w:rsidR="00BC4282" w:rsidRPr="003A46A4" w:rsidRDefault="004147C6" w:rsidP="00C911B0">
      <w:pPr>
        <w:spacing w:after="36"/>
        <w:ind w:left="14" w:right="144" w:firstLine="567"/>
      </w:pPr>
      <w:r w:rsidRPr="003A46A4">
        <w:t xml:space="preserve">Практическая работа Центра была начата с 01 февраля 2022 года, когда были приняты 153 человека получателей услуг. Тогда же </w:t>
      </w:r>
      <w:r w:rsidR="0077329B" w:rsidRPr="003A46A4">
        <w:t>были приняты на работу основная часть сотрудников и с</w:t>
      </w:r>
      <w:r w:rsidR="003A46A4">
        <w:t>пециалистов. В настоящее время</w:t>
      </w:r>
      <w:r w:rsidR="0077329B" w:rsidRPr="003A46A4">
        <w:t xml:space="preserve"> проводится анализ законодательных, </w:t>
      </w:r>
      <w:proofErr w:type="gramStart"/>
      <w:r w:rsidR="0077329B" w:rsidRPr="003A46A4">
        <w:t>нормативно-правовых актов</w:t>
      </w:r>
      <w:proofErr w:type="gramEnd"/>
      <w:r w:rsidR="0077329B" w:rsidRPr="003A46A4">
        <w:t xml:space="preserve"> </w:t>
      </w:r>
      <w:r w:rsidR="0077329B" w:rsidRPr="003A46A4">
        <w:lastRenderedPageBreak/>
        <w:t>регулирующих деятельность Центра. С учётом кратковременности деятельности Центром будут в дальнейшем внесены предложения по вопросам нормативно-правовой базы в целях улучшения качества оказывае</w:t>
      </w:r>
      <w:r w:rsidR="003A46A4">
        <w:t>м</w:t>
      </w:r>
      <w:r w:rsidR="0077329B" w:rsidRPr="003A46A4">
        <w:t>ых услуг</w:t>
      </w:r>
      <w:r w:rsidR="003A46A4">
        <w:t>.</w:t>
      </w:r>
    </w:p>
    <w:p w:rsidR="00BC4282" w:rsidRDefault="00854C06" w:rsidP="00C911B0">
      <w:pPr>
        <w:spacing w:after="326"/>
        <w:ind w:left="14" w:right="154" w:firstLine="567"/>
      </w:pPr>
      <w:r w:rsidRPr="003A46A4">
        <w:t>Вывод: В настоящее время Центром продолжаются принима</w:t>
      </w:r>
      <w:r w:rsidR="0077329B" w:rsidRPr="003A46A4">
        <w:t>ютс</w:t>
      </w:r>
      <w:r w:rsidRPr="003A46A4">
        <w:t>я меры</w:t>
      </w:r>
      <w:r w:rsidR="0077329B" w:rsidRPr="003A46A4">
        <w:t>,</w:t>
      </w:r>
      <w:r w:rsidRPr="003A46A4">
        <w:t xml:space="preserve"> направленные на </w:t>
      </w:r>
      <w:r w:rsidR="0077329B" w:rsidRPr="003A46A4">
        <w:t xml:space="preserve">выявление и устранение </w:t>
      </w:r>
      <w:r w:rsidRPr="003A46A4">
        <w:t xml:space="preserve">коррупционных </w:t>
      </w:r>
      <w:r w:rsidR="0077329B" w:rsidRPr="003A46A4">
        <w:t>рисков в нормативно-</w:t>
      </w:r>
      <w:r w:rsidRPr="003A46A4">
        <w:t>правовых актах,</w:t>
      </w:r>
      <w:r w:rsidR="0077329B" w:rsidRPr="003A46A4">
        <w:t xml:space="preserve"> затрагивающих его деятельность.</w:t>
      </w:r>
    </w:p>
    <w:p w:rsidR="00BC4282" w:rsidRDefault="00854C06" w:rsidP="00C911B0">
      <w:pPr>
        <w:spacing w:after="13"/>
        <w:ind w:left="72" w:firstLine="567"/>
      </w:pPr>
      <w:r>
        <w:rPr>
          <w:sz w:val="30"/>
        </w:rPr>
        <w:t>2. Выявление коррупционных рисков во внутренних документах.</w:t>
      </w:r>
    </w:p>
    <w:p w:rsidR="00BC4282" w:rsidRDefault="00854C06" w:rsidP="00C911B0">
      <w:pPr>
        <w:ind w:left="14" w:right="154" w:firstLine="567"/>
      </w:pPr>
      <w:r>
        <w:t>В результате проведения внутреннего анализа по выявлению коррупционных рисков во внутренних документах Центра позволяет сделать следующие выводы:</w:t>
      </w:r>
    </w:p>
    <w:p w:rsidR="00BC4282" w:rsidRDefault="00854C06" w:rsidP="00C911B0">
      <w:pPr>
        <w:ind w:left="14" w:right="4" w:firstLine="567"/>
      </w:pPr>
      <w:r>
        <w:t>Внутренние документы разработаны в соответствии с требованиями действующих законодательств в области документооборота.</w:t>
      </w:r>
    </w:p>
    <w:p w:rsidR="00BC4282" w:rsidRPr="00C911B0" w:rsidRDefault="00854C06" w:rsidP="00C911B0">
      <w:pPr>
        <w:spacing w:after="13"/>
        <w:ind w:left="72" w:firstLine="567"/>
        <w:rPr>
          <w:b/>
        </w:rPr>
      </w:pPr>
      <w:r w:rsidRPr="00C911B0">
        <w:rPr>
          <w:b/>
          <w:sz w:val="30"/>
        </w:rPr>
        <w:t>Организационно-правовые нормативные документы Центра:</w:t>
      </w:r>
    </w:p>
    <w:p w:rsidR="00BC4282" w:rsidRDefault="00854C06" w:rsidP="00C911B0">
      <w:pPr>
        <w:ind w:left="14" w:right="154" w:firstLine="567"/>
      </w:pPr>
      <w:r>
        <w:t>Ш</w:t>
      </w:r>
      <w:r w:rsidR="000D7C08">
        <w:t xml:space="preserve">татное расписание на 2022 год </w:t>
      </w:r>
      <w:r>
        <w:t>утверждено руководителем Управления С</w:t>
      </w:r>
      <w:r w:rsidR="0057508A">
        <w:t>оциального</w:t>
      </w:r>
      <w:r>
        <w:t xml:space="preserve"> благосостояния города Алматы от 05 января 2022 года. Должностные инструкции утверждены директором Центра.</w:t>
      </w:r>
    </w:p>
    <w:p w:rsidR="00BC4282" w:rsidRDefault="00854C06" w:rsidP="00C911B0">
      <w:pPr>
        <w:ind w:left="14" w:right="144" w:firstLine="567"/>
      </w:pPr>
      <w:r>
        <w:t>Правила в</w:t>
      </w:r>
      <w:r w:rsidR="0057508A">
        <w:t>нутреннего трудового распорядка,</w:t>
      </w:r>
      <w:r>
        <w:t xml:space="preserve"> Положение об оплате труда и премировании работников</w:t>
      </w:r>
      <w:r w:rsidR="0057508A">
        <w:t>,</w:t>
      </w:r>
      <w:r>
        <w:t xml:space="preserve"> Положение о сборе, хранении, обработке</w:t>
      </w:r>
      <w:r w:rsidR="0057508A">
        <w:t xml:space="preserve"> персональных данных работников,</w:t>
      </w:r>
      <w:r>
        <w:t xml:space="preserve"> Положение о согласительной </w:t>
      </w:r>
      <w:r w:rsidR="0057508A">
        <w:t>комиссии</w:t>
      </w:r>
      <w:r>
        <w:t xml:space="preserve"> по</w:t>
      </w:r>
      <w:r w:rsidR="0057508A">
        <w:t xml:space="preserve"> индивидуальным трудовым спорам</w:t>
      </w:r>
      <w:r w:rsidR="00C911B0">
        <w:t>.</w:t>
      </w:r>
    </w:p>
    <w:p w:rsidR="00BC4282" w:rsidRDefault="00854C06" w:rsidP="00C911B0">
      <w:pPr>
        <w:spacing w:after="58"/>
        <w:ind w:left="14" w:right="154" w:firstLine="567"/>
      </w:pPr>
      <w:r>
        <w:t>Внутренние документы, ак</w:t>
      </w:r>
      <w:r w:rsidR="0057508A">
        <w:t xml:space="preserve">ты, приказы, распоряжения по вопросам </w:t>
      </w:r>
      <w:r>
        <w:t>безопасности и охраны труда, соответствии с законодательными ин</w:t>
      </w:r>
      <w:r w:rsidR="0057508A">
        <w:t>ыми нормативными актами по охран</w:t>
      </w:r>
      <w:r>
        <w:t>е труда и безопасности Республики Казахстан.</w:t>
      </w:r>
    </w:p>
    <w:p w:rsidR="00BC4282" w:rsidRDefault="00854C06" w:rsidP="00C911B0">
      <w:pPr>
        <w:spacing w:after="44"/>
        <w:ind w:left="14" w:right="144" w:firstLine="567"/>
      </w:pPr>
      <w:r>
        <w:t>Финансово-бухгалтерские документы, характеризующие хозяйственные операции, соответствуют правилам ведения бухгалтерского счета в государственных учреждениях и</w:t>
      </w:r>
      <w:r w:rsidR="00B66A0A">
        <w:t xml:space="preserve"> другим требованиям нормативно-п</w:t>
      </w:r>
      <w:r>
        <w:t>равовых актов финансовой деятельнос</w:t>
      </w:r>
      <w:r w:rsidR="00C911B0">
        <w:t>ти. Аналитический учет для сост</w:t>
      </w:r>
      <w:r>
        <w:t>авления отчетностей (налоговой, бухгалтерской, статистической) ведутся в соответствии с правилами ведения бухгалтерской отчетности. Налоговая, статистическая отчетность за I квартал закрыт</w:t>
      </w:r>
      <w:r w:rsidR="00C911B0">
        <w:t>а</w:t>
      </w:r>
      <w:r>
        <w:t>. Списание товарно</w:t>
      </w:r>
      <w:r w:rsidR="000D7C08">
        <w:t>-</w:t>
      </w:r>
      <w:r>
        <w:t>материальных ценностей проходит ежемесячно.</w:t>
      </w:r>
    </w:p>
    <w:p w:rsidR="00BC4282" w:rsidRDefault="00854C06" w:rsidP="00C911B0">
      <w:pPr>
        <w:spacing w:after="13"/>
        <w:ind w:left="173" w:firstLine="394"/>
      </w:pPr>
      <w:r>
        <w:rPr>
          <w:sz w:val="30"/>
        </w:rPr>
        <w:t>Внутренние распорядительные документы Центра:</w:t>
      </w:r>
    </w:p>
    <w:p w:rsidR="00BC4282" w:rsidRDefault="00854C06" w:rsidP="00C911B0">
      <w:pPr>
        <w:ind w:left="14" w:right="4" w:firstLine="567"/>
      </w:pPr>
      <w:r>
        <w:t>Приказы и журналы регистрации по основной деятельности;</w:t>
      </w:r>
    </w:p>
    <w:p w:rsidR="00BC4282" w:rsidRDefault="00854C06" w:rsidP="00C911B0">
      <w:pPr>
        <w:ind w:left="14" w:right="4" w:firstLine="567"/>
      </w:pPr>
      <w:r>
        <w:t>Приказы и журналы регистрации по государственным закупкам;</w:t>
      </w:r>
    </w:p>
    <w:p w:rsidR="00BC4282" w:rsidRDefault="00854C06" w:rsidP="00C911B0">
      <w:pPr>
        <w:ind w:left="163" w:right="4" w:firstLine="404"/>
      </w:pPr>
      <w:r>
        <w:t>Приказы и журналы регистрации по основной деятельности (зачисление, отчисление ЖБН);</w:t>
      </w:r>
    </w:p>
    <w:p w:rsidR="00BC4282" w:rsidRDefault="00854C06" w:rsidP="00C911B0">
      <w:pPr>
        <w:numPr>
          <w:ilvl w:val="0"/>
          <w:numId w:val="1"/>
        </w:numPr>
        <w:ind w:right="4" w:firstLine="567"/>
      </w:pPr>
      <w:r>
        <w:t>Приказы и журналы регистрации по личному составу;</w:t>
      </w:r>
    </w:p>
    <w:p w:rsidR="00BC4282" w:rsidRDefault="00854C06" w:rsidP="00C911B0">
      <w:pPr>
        <w:numPr>
          <w:ilvl w:val="0"/>
          <w:numId w:val="1"/>
        </w:numPr>
        <w:ind w:right="4" w:firstLine="567"/>
      </w:pPr>
      <w:r>
        <w:t>Приказы и журналы р</w:t>
      </w:r>
      <w:r w:rsidR="00C911B0">
        <w:t>егистрации по кадрам (трудовой отпуск, команд</w:t>
      </w:r>
      <w:r>
        <w:t>ировки).</w:t>
      </w:r>
    </w:p>
    <w:p w:rsidR="00BC4282" w:rsidRDefault="00C911B0" w:rsidP="00C911B0">
      <w:pPr>
        <w:spacing w:after="13"/>
        <w:ind w:left="192" w:firstLine="567"/>
      </w:pPr>
      <w:r>
        <w:rPr>
          <w:sz w:val="30"/>
        </w:rPr>
        <w:lastRenderedPageBreak/>
        <w:t xml:space="preserve">Обращение </w:t>
      </w:r>
      <w:r w:rsidR="00854C06">
        <w:rPr>
          <w:sz w:val="30"/>
        </w:rPr>
        <w:t>физических и юридических лиц.</w:t>
      </w:r>
    </w:p>
    <w:p w:rsidR="00BC4282" w:rsidRDefault="00854C06" w:rsidP="00C911B0">
      <w:pPr>
        <w:ind w:left="182" w:right="4" w:firstLine="567"/>
      </w:pPr>
      <w:r>
        <w:t>Журналы регистрации входящих и исходящих документов ведутся в соответствии правилами документирования.</w:t>
      </w:r>
    </w:p>
    <w:p w:rsidR="00BC4282" w:rsidRDefault="00854C06" w:rsidP="00C911B0">
      <w:pPr>
        <w:ind w:left="182" w:right="4" w:firstLine="567"/>
      </w:pPr>
      <w:r>
        <w:rPr>
          <w:noProof/>
        </w:rPr>
        <w:drawing>
          <wp:inline distT="0" distB="0" distL="0" distR="0">
            <wp:extent cx="18282" cy="6097"/>
            <wp:effectExtent l="0" t="0" r="0" b="0"/>
            <wp:docPr id="6211" name="Picture 6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1" name="Picture 62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2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Обращения физических и юридических лиц в Центре рассматриваются в соответствии с Приказом Гене</w:t>
      </w:r>
      <w:r w:rsidR="00C911B0">
        <w:t>рального Прокурора Республики Каза</w:t>
      </w:r>
      <w:r>
        <w:t>хстан от 19 мая 2021 года № 70 «Об утверждении Правил регистрации, учета обращений, поступающих в государственные органы, органы местного самоуправления, юридические лица со стопроцентным участием государства, а также ведения информационной аналитической системы «Электронные обращения».</w:t>
      </w:r>
    </w:p>
    <w:p w:rsidR="00BC4282" w:rsidRDefault="00854C06" w:rsidP="00C911B0">
      <w:pPr>
        <w:ind w:left="202" w:right="4" w:firstLine="567"/>
      </w:pPr>
      <w:r w:rsidRPr="003A46A4">
        <w:t xml:space="preserve">В период с 01 января </w:t>
      </w:r>
      <w:r w:rsidR="00C911B0" w:rsidRPr="003A46A4">
        <w:t>по 15 июня 2022 года поступило 3</w:t>
      </w:r>
      <w:r w:rsidRPr="003A46A4">
        <w:t xml:space="preserve"> обращения, из них: </w:t>
      </w:r>
      <w:r w:rsidR="00C911B0" w:rsidRPr="003A46A4">
        <w:rPr>
          <w:u w:val="single" w:color="000000"/>
        </w:rPr>
        <w:t>3</w:t>
      </w:r>
      <w:r w:rsidRPr="003A46A4">
        <w:rPr>
          <w:u w:val="single" w:color="000000"/>
        </w:rPr>
        <w:t xml:space="preserve"> обращения от физических лиц, обращений от юридических лиц </w:t>
      </w:r>
      <w:proofErr w:type="spellStart"/>
      <w:r w:rsidRPr="003A46A4">
        <w:rPr>
          <w:u w:val="single" w:color="000000"/>
        </w:rPr>
        <w:t>пе</w:t>
      </w:r>
      <w:proofErr w:type="spellEnd"/>
      <w:r w:rsidRPr="003A46A4">
        <w:rPr>
          <w:u w:val="single" w:color="000000"/>
        </w:rPr>
        <w:t xml:space="preserve"> поступало.</w:t>
      </w:r>
      <w:r w:rsidRPr="003A46A4">
        <w:t xml:space="preserve"> Обращения рассмотрены и отработаны. Не рассмотренных обращений нет, жалоб в анализируемый период не поступало.</w:t>
      </w:r>
    </w:p>
    <w:p w:rsidR="00BC4282" w:rsidRDefault="00854C06" w:rsidP="00C911B0">
      <w:pPr>
        <w:ind w:left="211" w:right="4" w:firstLine="567"/>
      </w:pPr>
      <w:r>
        <w:t>В Единой электронной платформе приема и обработки всех обращений граждан — eotinish.gov.kz., за I квартал 2022 года в Центр обращений физических и юридических лиц не было.</w:t>
      </w:r>
    </w:p>
    <w:p w:rsidR="00BC4282" w:rsidRDefault="00854C06" w:rsidP="00C911B0">
      <w:pPr>
        <w:spacing w:after="329"/>
        <w:ind w:left="221" w:right="4" w:firstLine="567"/>
      </w:pPr>
      <w:r>
        <w:t xml:space="preserve">Вывод: в КГУ </w:t>
      </w:r>
      <w:r w:rsidR="00C911B0" w:rsidRPr="00C911B0">
        <w:t xml:space="preserve">учреждение «Центр социальных услуг «Алатау» Управления социального благосостояния города Алматы </w:t>
      </w:r>
      <w:r>
        <w:t xml:space="preserve">по линии ведения внутренних </w:t>
      </w:r>
      <w:r w:rsidR="00C911B0">
        <w:rPr>
          <w:noProof/>
        </w:rPr>
        <w:t xml:space="preserve">документов </w:t>
      </w:r>
      <w:r>
        <w:t>коррупционных рисков не выявлено.</w:t>
      </w:r>
    </w:p>
    <w:p w:rsidR="00BC4282" w:rsidRDefault="00C911B0" w:rsidP="00C911B0">
      <w:pPr>
        <w:spacing w:after="13"/>
        <w:ind w:left="221" w:firstLine="567"/>
      </w:pPr>
      <w:r>
        <w:rPr>
          <w:sz w:val="30"/>
        </w:rPr>
        <w:t>3</w:t>
      </w:r>
      <w:r w:rsidR="00854C06">
        <w:rPr>
          <w:sz w:val="30"/>
        </w:rPr>
        <w:t>.</w:t>
      </w:r>
      <w:r>
        <w:rPr>
          <w:sz w:val="30"/>
        </w:rPr>
        <w:t xml:space="preserve"> </w:t>
      </w:r>
      <w:r w:rsidR="00854C06">
        <w:rPr>
          <w:sz w:val="30"/>
        </w:rPr>
        <w:t>Выявление коррупц</w:t>
      </w:r>
      <w:r>
        <w:rPr>
          <w:sz w:val="30"/>
        </w:rPr>
        <w:t>ионных рисков, связанных с управлен</w:t>
      </w:r>
      <w:r w:rsidR="00854C06">
        <w:rPr>
          <w:sz w:val="30"/>
        </w:rPr>
        <w:t>ием персонала.</w:t>
      </w:r>
    </w:p>
    <w:p w:rsidR="00BC4282" w:rsidRDefault="00854C06" w:rsidP="00C911B0">
      <w:pPr>
        <w:ind w:left="221" w:right="4" w:firstLine="567"/>
      </w:pPr>
      <w:r>
        <w:t>В результате проведения внутреннего анализа кадрового состава, штатного расписания, актов работодателя, квалификационных требований работников к выполняемой работе, соответствия формирования дел работников и кадровых документов Центра позволяет сделать следующие выводы:</w:t>
      </w:r>
    </w:p>
    <w:p w:rsidR="00BC4282" w:rsidRDefault="00854C06" w:rsidP="00C911B0">
      <w:pPr>
        <w:ind w:left="77" w:right="144" w:firstLine="567"/>
      </w:pPr>
      <w:r>
        <w:t>Штатное расписание утверждено, штатно-списочный состав работников (тарификация) ведется ежемесяч</w:t>
      </w:r>
      <w:r w:rsidR="00C911B0">
        <w:t>но. Штатная численность с 5 января 2022</w:t>
      </w:r>
      <w:r>
        <w:t xml:space="preserve"> </w:t>
      </w:r>
      <w:r>
        <w:rPr>
          <w:noProof/>
        </w:rPr>
        <w:drawing>
          <wp:inline distT="0" distB="0" distL="0" distR="0">
            <wp:extent cx="6093" cy="6097"/>
            <wp:effectExtent l="0" t="0" r="0" b="0"/>
            <wp:docPr id="8320" name="Picture 8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0" name="Picture 83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11B0">
        <w:t>года составляет - 198</w:t>
      </w:r>
      <w:r>
        <w:t xml:space="preserve"> единиц.</w:t>
      </w:r>
    </w:p>
    <w:p w:rsidR="00BC4282" w:rsidRDefault="00C911B0" w:rsidP="00C911B0">
      <w:pPr>
        <w:ind w:left="77" w:right="134" w:firstLine="567"/>
      </w:pPr>
      <w:r>
        <w:t>В период с 05</w:t>
      </w:r>
      <w:r w:rsidR="00854C06">
        <w:t xml:space="preserve"> января по </w:t>
      </w:r>
      <w:r>
        <w:t>15 июня 2022 года были заключены 138</w:t>
      </w:r>
      <w:r w:rsidR="00854C06">
        <w:t xml:space="preserve"> трудовых договоров. Вновь принятые работники проверены по базе «Информационный сер</w:t>
      </w:r>
      <w:r>
        <w:t>вис» ГУ Управления комитета по п</w:t>
      </w:r>
      <w:r w:rsidR="00854C06">
        <w:t xml:space="preserve">равовой статистике и специальным учетам Генеральной </w:t>
      </w:r>
      <w:r>
        <w:t>Республики</w:t>
      </w:r>
      <w:r w:rsidR="00854C06">
        <w:t xml:space="preserve"> Казахстан по г. Алматы - судимостей и коррупционных </w:t>
      </w:r>
      <w:r>
        <w:t>нарушений</w:t>
      </w:r>
      <w:r w:rsidR="00854C06">
        <w:t xml:space="preserve"> не имеют.</w:t>
      </w:r>
    </w:p>
    <w:p w:rsidR="00BC4282" w:rsidRDefault="00C911B0" w:rsidP="00C911B0">
      <w:pPr>
        <w:ind w:left="106" w:right="4" w:firstLine="567"/>
      </w:pPr>
      <w:r>
        <w:t>За отчетный период 37</w:t>
      </w:r>
      <w:r w:rsidR="00854C06">
        <w:t xml:space="preserve"> трудовых договоров были расторгнуты по инициативе работника.</w:t>
      </w:r>
    </w:p>
    <w:p w:rsidR="00BC4282" w:rsidRDefault="00854C06" w:rsidP="00C911B0">
      <w:pPr>
        <w:ind w:left="86" w:right="106" w:firstLine="567"/>
      </w:pPr>
      <w:r>
        <w:t xml:space="preserve">Расторжение трудовых договоров производилось в соответствии с 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8321" name="Picture 8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1" name="Picture 83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трудовым законодательством Республики Казахстан. Фактов </w:t>
      </w:r>
      <w:r w:rsidR="000D7C08">
        <w:t xml:space="preserve">конфликтов </w:t>
      </w:r>
      <w:r>
        <w:t xml:space="preserve">интересов </w:t>
      </w:r>
      <w:r w:rsidR="000D7C08">
        <w:t>не</w:t>
      </w:r>
      <w:r>
        <w:t xml:space="preserve"> выявлено.</w:t>
      </w:r>
    </w:p>
    <w:p w:rsidR="00BC4282" w:rsidRDefault="00854C06" w:rsidP="00C911B0">
      <w:pPr>
        <w:ind w:left="96" w:right="106" w:firstLine="567"/>
      </w:pPr>
      <w:r>
        <w:lastRenderedPageBreak/>
        <w:t xml:space="preserve">По состоянию на 15 июня 2022 года, с работниками Центра заключены трудовые договоры на казахском и русском языках, заключены договоры о полной материальной ответственности с материально ответственными лицами. Приказы по личному составу в соответствии с нормами трудового кодекса. Должностные инструкции утверждены директором Центра и </w:t>
      </w:r>
      <w:r w:rsidR="000D7C08">
        <w:t>подписаны</w:t>
      </w:r>
      <w:r>
        <w:t xml:space="preserve"> работниками</w:t>
      </w:r>
      <w:r w:rsidR="000D7C08">
        <w:t>.</w:t>
      </w:r>
    </w:p>
    <w:p w:rsidR="00BC4282" w:rsidRDefault="00854C06" w:rsidP="00C911B0">
      <w:pPr>
        <w:spacing w:after="66"/>
        <w:ind w:left="125" w:right="86" w:firstLine="567"/>
      </w:pPr>
      <w:r>
        <w:t xml:space="preserve">Подбор кадров, при приеме на работу ведется в соответствии с квалификационными требованиями к должностным </w:t>
      </w:r>
      <w:r w:rsidR="000D7C08">
        <w:t>обязанностям</w:t>
      </w:r>
      <w:r>
        <w:t xml:space="preserve"> работников:</w:t>
      </w:r>
    </w:p>
    <w:p w:rsidR="00BC4282" w:rsidRDefault="000D7C08" w:rsidP="00C911B0">
      <w:pPr>
        <w:numPr>
          <w:ilvl w:val="0"/>
          <w:numId w:val="2"/>
        </w:numPr>
        <w:spacing w:after="0" w:line="248" w:lineRule="auto"/>
        <w:ind w:right="77" w:firstLine="567"/>
      </w:pPr>
      <w:r>
        <w:t>(Здравоохран</w:t>
      </w:r>
      <w:r w:rsidR="00854C06">
        <w:t>ение)</w:t>
      </w:r>
      <w:r w:rsidR="00854C06">
        <w:tab/>
        <w:t>в соответствии с Приказом М</w:t>
      </w:r>
      <w:r>
        <w:t>и</w:t>
      </w:r>
      <w:r w:rsidR="00854C06">
        <w:t>нистра здравоохранения Республики Казахстан № КР ДСМ-З05/202() «Об утверждении номенклатуры специальностей и специализаций в области здравоохранения, номенк</w:t>
      </w:r>
      <w:r>
        <w:t>латуры и квалификационных характ</w:t>
      </w:r>
      <w:r w:rsidR="00854C06">
        <w:t>еристик должностей работников здравоохранения» от 21 декабря 2020 года</w:t>
      </w:r>
      <w:r>
        <w:t>.</w:t>
      </w:r>
    </w:p>
    <w:p w:rsidR="00BC4282" w:rsidRDefault="00854C06" w:rsidP="00C911B0">
      <w:pPr>
        <w:numPr>
          <w:ilvl w:val="0"/>
          <w:numId w:val="2"/>
        </w:numPr>
        <w:ind w:right="77" w:firstLine="567"/>
      </w:pPr>
      <w:r>
        <w:t xml:space="preserve">(Прочие сферы)- в соответствии с Приказом </w:t>
      </w:r>
      <w:proofErr w:type="spellStart"/>
      <w:r>
        <w:t>и.о</w:t>
      </w:r>
      <w:proofErr w:type="spellEnd"/>
      <w:r>
        <w:t>. Министра труда и социальной защиты населения Республики Казахстан -360 «Об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населения» от 25 октября 2017 года;</w:t>
      </w:r>
    </w:p>
    <w:p w:rsidR="00BC4282" w:rsidRDefault="00854C06" w:rsidP="00C911B0">
      <w:pPr>
        <w:numPr>
          <w:ilvl w:val="0"/>
          <w:numId w:val="2"/>
        </w:numPr>
        <w:ind w:right="77" w:firstLine="567"/>
      </w:pPr>
      <w:r>
        <w:t>(Образо</w:t>
      </w:r>
      <w:r w:rsidR="000D7C08">
        <w:t>вание</w:t>
      </w:r>
      <w:r>
        <w:t>) - Приказ Министра образования и на</w:t>
      </w:r>
      <w:r w:rsidR="000D7C08">
        <w:t xml:space="preserve">уки Республики Казахстан № 338 «0б утверждении Типовых квалификационных </w:t>
      </w:r>
      <w:r>
        <w:t>характеристик должностей педа</w:t>
      </w:r>
      <w:r w:rsidR="000D7C08">
        <w:t>гогических работников и приравненных к ним лиц»</w:t>
      </w:r>
      <w:r>
        <w:t xml:space="preserve"> от 13 июля 2009 года; </w:t>
      </w:r>
      <w:r>
        <w:rPr>
          <w:noProof/>
        </w:rPr>
        <w:drawing>
          <wp:inline distT="0" distB="0" distL="0" distR="0">
            <wp:extent cx="60939" cy="36580"/>
            <wp:effectExtent l="0" t="0" r="0" b="0"/>
            <wp:docPr id="8323" name="Picture 8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3" name="Picture 83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39" cy="3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282" w:rsidRDefault="000D7C08" w:rsidP="00633DAA">
      <w:pPr>
        <w:numPr>
          <w:ilvl w:val="0"/>
          <w:numId w:val="2"/>
        </w:numPr>
        <w:ind w:left="144" w:right="4" w:firstLine="567"/>
      </w:pPr>
      <w:r>
        <w:t>(Административный персонал</w:t>
      </w:r>
      <w:r w:rsidR="00854C06">
        <w:t xml:space="preserve">) - Приказа Министра труда и социальной защиты населения Республики Казахстан </w:t>
      </w:r>
      <w:r>
        <w:t>№</w:t>
      </w:r>
      <w:r w:rsidR="00854C06">
        <w:t xml:space="preserve"> 553 «Об утверждении Квалификационного</w:t>
      </w:r>
      <w:r>
        <w:t xml:space="preserve"> справочника должностей руководителей, </w:t>
      </w:r>
      <w:r w:rsidR="00854C06">
        <w:t>специалистов и других служащих» от 30 декабря 2020 года;</w:t>
      </w:r>
    </w:p>
    <w:p w:rsidR="00BC4282" w:rsidRDefault="00854C06" w:rsidP="00C911B0">
      <w:pPr>
        <w:numPr>
          <w:ilvl w:val="0"/>
          <w:numId w:val="2"/>
        </w:numPr>
        <w:ind w:right="77" w:firstLine="567"/>
      </w:pPr>
      <w:r>
        <w:t>(Рабочий персонал)- в соответствии с выпусками Единого тарифно</w:t>
      </w:r>
      <w:r w:rsidR="000D7C08">
        <w:t>-</w:t>
      </w:r>
      <w:r>
        <w:t>квалификационного справочника работ и профессий рабочих.</w:t>
      </w:r>
    </w:p>
    <w:p w:rsidR="00BC4282" w:rsidRDefault="00854C06" w:rsidP="00C911B0">
      <w:pPr>
        <w:ind w:left="125" w:right="86" w:firstLine="567"/>
      </w:pPr>
      <w:r>
        <w:t xml:space="preserve">Оплата труда работников производится в </w:t>
      </w:r>
      <w:r w:rsidR="000D7C08">
        <w:t>соответствии</w:t>
      </w:r>
      <w:r>
        <w:t xml:space="preserve"> с Постановлением Правительства Республики Казахстан от 3 декабря </w:t>
      </w:r>
      <w:r w:rsidR="000D7C08">
        <w:rPr>
          <w:noProof/>
        </w:rPr>
        <w:t xml:space="preserve">2015 </w:t>
      </w:r>
      <w:r>
        <w:t xml:space="preserve">года </w:t>
      </w:r>
      <w:r w:rsidR="000D7C08">
        <w:t>№1</w:t>
      </w:r>
      <w:r>
        <w:t>193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предприятий».</w:t>
      </w:r>
    </w:p>
    <w:p w:rsidR="00BC4282" w:rsidRDefault="00854C06" w:rsidP="00C911B0">
      <w:pPr>
        <w:ind w:left="134" w:right="77" w:firstLine="567"/>
      </w:pPr>
      <w:r>
        <w:t>Подсчет стажа работы по специальности работников ведется в соответствии с Правилами и условиями исчисления стажа работы по специальности для гражданских служащих, работников организаций</w:t>
      </w:r>
      <w:proofErr w:type="gramStart"/>
      <w:r>
        <w:t>.</w:t>
      </w:r>
      <w:proofErr w:type="gramEnd"/>
      <w:r>
        <w:t xml:space="preserve"> содержащихся за счет средств государственного бюджета, работников казенных предприятий социального обеспечения, утвержденными Приказом Министра</w:t>
      </w:r>
      <w:r w:rsidR="000D7C08">
        <w:t xml:space="preserve"> </w:t>
      </w:r>
      <w:r>
        <w:t>здравоохранения и социального развития Республики Казахстан от 10 июня 2016 года № 495.</w:t>
      </w:r>
    </w:p>
    <w:p w:rsidR="00BC4282" w:rsidRDefault="00854C06" w:rsidP="00C911B0">
      <w:pPr>
        <w:ind w:left="144" w:right="4" w:firstLine="567"/>
      </w:pPr>
      <w:r>
        <w:lastRenderedPageBreak/>
        <w:t>Учетно-регистрационны</w:t>
      </w:r>
      <w:r w:rsidR="001748AA">
        <w:t xml:space="preserve">е формы журналов ведутся в соответствии </w:t>
      </w:r>
      <w:r>
        <w:t>с</w:t>
      </w:r>
      <w:r w:rsidR="001748AA">
        <w:t xml:space="preserve"> </w:t>
      </w:r>
      <w:r>
        <w:t xml:space="preserve">Постановлением Правительства Республики Казахстан </w:t>
      </w:r>
      <w:r w:rsidR="001748AA">
        <w:t>№</w:t>
      </w:r>
      <w:r>
        <w:t>703 «Об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</w:t>
      </w:r>
      <w:r w:rsidR="001748AA">
        <w:t>рганизациях» от 31 октября 2018 года.</w:t>
      </w:r>
    </w:p>
    <w:p w:rsidR="00BC4282" w:rsidRDefault="00854C06" w:rsidP="00C911B0">
      <w:pPr>
        <w:ind w:left="154" w:right="4" w:firstLine="567"/>
      </w:pPr>
      <w:r>
        <w:t xml:space="preserve">Учет трудовых книжек ведется в соответствии с Правилами веления и хранения трудовых книжек, утвержденных Приказом Министерства здравоохранения и социального развития РК от 30 ноября 2015 года </w:t>
      </w:r>
      <w:r w:rsidR="001748AA">
        <w:t>№</w:t>
      </w:r>
      <w:r>
        <w:t>929.</w:t>
      </w:r>
    </w:p>
    <w:p w:rsidR="00BC4282" w:rsidRDefault="00854C06" w:rsidP="00C911B0">
      <w:pPr>
        <w:ind w:left="154" w:right="4" w:firstLine="567"/>
      </w:pPr>
      <w:r>
        <w:t>График предоставления оплачиваемых ежегодных трудовых о</w:t>
      </w:r>
      <w:r w:rsidR="001748AA">
        <w:t>тпусков работников на 2022 год утверждён приказом руководителя центра 04 апреля 2022 года.</w:t>
      </w:r>
    </w:p>
    <w:p w:rsidR="00BC4282" w:rsidRDefault="00854C06" w:rsidP="00C911B0">
      <w:pPr>
        <w:ind w:left="163" w:right="4" w:firstLine="567"/>
      </w:pPr>
      <w:r>
        <w:t>Формирование личных д</w:t>
      </w:r>
      <w:r w:rsidR="001748AA">
        <w:t>ел,</w:t>
      </w:r>
      <w:r>
        <w:t xml:space="preserve"> табель учета рабочего времени, регистрация трудовых договоров и трудовых книжек производится в соответствии</w:t>
      </w:r>
      <w:r w:rsidR="001748AA">
        <w:t xml:space="preserve"> с действующим законодательством.</w:t>
      </w:r>
    </w:p>
    <w:p w:rsidR="00BC4282" w:rsidRDefault="00854C06" w:rsidP="00C911B0">
      <w:pPr>
        <w:ind w:left="173" w:right="4" w:firstLine="567"/>
      </w:pPr>
      <w:r>
        <w:t>Проведено изучение личных дел гражданских служащих с целью выявления фактов совместной службы близких родственников, супругов и свойственников также не выявлены.</w:t>
      </w:r>
    </w:p>
    <w:p w:rsidR="00BC4282" w:rsidRDefault="001748AA" w:rsidP="00C911B0">
      <w:pPr>
        <w:ind w:left="163" w:right="4" w:firstLine="567"/>
      </w:pPr>
      <w:r>
        <w:t xml:space="preserve">Фактически работа Центра начата с 01 февраля 20212 года в настоящее время проводятся мероприятия по созданию профсоюза сотрудников, и заключению </w:t>
      </w:r>
      <w:r w:rsidR="00B66A0A">
        <w:t>Коллективного Договора.</w:t>
      </w:r>
    </w:p>
    <w:p w:rsidR="00BC4282" w:rsidRDefault="00B66A0A" w:rsidP="00C911B0">
      <w:pPr>
        <w:ind w:left="96" w:right="125" w:firstLine="567"/>
      </w:pPr>
      <w:r>
        <w:t>Вывод: в КГ</w:t>
      </w:r>
      <w:r w:rsidR="00854C06">
        <w:t xml:space="preserve">У </w:t>
      </w:r>
      <w:r>
        <w:t>«Центр социальных услуг «Алатау» Управления социального благосостояния города Алматы</w:t>
      </w:r>
      <w:r w:rsidR="00854C06">
        <w:t xml:space="preserve"> по линии управления персоналом, в том числе сменяемости кадров, коррупционных рисков не выявлено.</w:t>
      </w:r>
    </w:p>
    <w:p w:rsidR="00BC4282" w:rsidRDefault="00854C06" w:rsidP="00C911B0">
      <w:pPr>
        <w:spacing w:after="13"/>
        <w:ind w:left="72" w:firstLine="567"/>
      </w:pPr>
      <w:r>
        <w:rPr>
          <w:sz w:val="30"/>
        </w:rPr>
        <w:t>4. Выявление коррупционных рисков по линии урегулирования конфликта интересов.</w:t>
      </w:r>
    </w:p>
    <w:p w:rsidR="00BC4282" w:rsidRDefault="00854C06" w:rsidP="00C911B0">
      <w:pPr>
        <w:ind w:left="106" w:right="106" w:firstLine="567"/>
      </w:pPr>
      <w:r>
        <w:t>Проанализирована пр</w:t>
      </w:r>
      <w:r w:rsidR="00B66A0A">
        <w:t>оцедура государственных закупок,</w:t>
      </w:r>
      <w:r>
        <w:t xml:space="preserve"> которая проводится в строгом соответствии с требованием ст. 6 Закона Республики Казахстан от 4 декабря 2015 года «О государственных закупках», конкурсной либо аукционной комиссией при выполнении процедур проведения государ</w:t>
      </w:r>
      <w:r w:rsidR="00B66A0A">
        <w:t>с</w:t>
      </w:r>
      <w:r>
        <w:t xml:space="preserve">твенных закупок проводится работа по выявлению </w:t>
      </w:r>
      <w:proofErr w:type="spellStart"/>
      <w:r>
        <w:t>аффилированности</w:t>
      </w:r>
      <w:proofErr w:type="spellEnd"/>
      <w:r>
        <w:t xml:space="preserve"> потенциальных поставщиков товаров, работ </w:t>
      </w:r>
      <w:proofErr w:type="spellStart"/>
      <w:r>
        <w:t>услут</w:t>
      </w:r>
      <w:proofErr w:type="spellEnd"/>
      <w:r>
        <w:t xml:space="preserve">. За анализируемый период факты </w:t>
      </w:r>
      <w:proofErr w:type="spellStart"/>
      <w:r>
        <w:t>аффилированности</w:t>
      </w:r>
      <w:proofErr w:type="spellEnd"/>
      <w:r>
        <w:t xml:space="preserve"> не выявлены.</w:t>
      </w:r>
    </w:p>
    <w:p w:rsidR="00BC4282" w:rsidRDefault="00854C06" w:rsidP="004147C6">
      <w:pPr>
        <w:ind w:left="0" w:right="86" w:firstLine="567"/>
      </w:pPr>
      <w:r>
        <w:t>Приобретение товаров, работ, услуг, необходимых для обеспечения функционирования учреждения осуществляется на веб-портале государственных закупок в соответствие с Законом «О государственных закупках» от 04 декабря 2015 года №434-V.</w:t>
      </w:r>
    </w:p>
    <w:p w:rsidR="00BC4282" w:rsidRDefault="00B66A0A" w:rsidP="004147C6">
      <w:pPr>
        <w:spacing w:after="0" w:line="259" w:lineRule="auto"/>
        <w:ind w:left="0" w:right="71" w:firstLine="567"/>
      </w:pPr>
      <w:r>
        <w:t>В период с 05</w:t>
      </w:r>
      <w:r w:rsidR="00854C06">
        <w:t xml:space="preserve"> .01</w:t>
      </w:r>
      <w:r>
        <w:t xml:space="preserve">. </w:t>
      </w:r>
      <w:r w:rsidR="00854C06">
        <w:t>2022 года по 15.06. 2022 года было заключено</w:t>
      </w:r>
    </w:p>
    <w:p w:rsidR="00BC4282" w:rsidRDefault="00854C06" w:rsidP="004147C6">
      <w:pPr>
        <w:ind w:left="0" w:right="4" w:firstLine="567"/>
      </w:pPr>
      <w:r>
        <w:t>70 договора.</w:t>
      </w:r>
    </w:p>
    <w:p w:rsidR="00BC4282" w:rsidRDefault="00854C06" w:rsidP="004147C6">
      <w:pPr>
        <w:ind w:left="0" w:right="4" w:firstLine="567"/>
      </w:pPr>
      <w:r>
        <w:t>Из них способом государственных закупок:</w:t>
      </w:r>
    </w:p>
    <w:p w:rsidR="00BC4282" w:rsidRDefault="00854C06" w:rsidP="004147C6">
      <w:pPr>
        <w:numPr>
          <w:ilvl w:val="0"/>
          <w:numId w:val="3"/>
        </w:numPr>
        <w:ind w:left="0" w:right="232" w:firstLine="567"/>
      </w:pPr>
      <w:r>
        <w:t>Открытый конкурс — 1 договор;</w:t>
      </w:r>
    </w:p>
    <w:p w:rsidR="00BC4282" w:rsidRDefault="00854C06" w:rsidP="004147C6">
      <w:pPr>
        <w:ind w:left="0" w:right="4" w:firstLine="567"/>
      </w:pPr>
      <w:r>
        <w:t>Фактов конфликтов интересов не выявлялось.</w:t>
      </w:r>
    </w:p>
    <w:p w:rsidR="00BC4282" w:rsidRDefault="00854C06" w:rsidP="004147C6">
      <w:pPr>
        <w:ind w:left="0" w:right="4" w:firstLine="567"/>
      </w:pPr>
      <w:r>
        <w:lastRenderedPageBreak/>
        <w:t>Разрешительных функций нет. Контрольных функций нет.</w:t>
      </w:r>
    </w:p>
    <w:p w:rsidR="00BC4282" w:rsidRDefault="00B66A0A" w:rsidP="004147C6">
      <w:pPr>
        <w:ind w:left="0" w:right="4" w:firstLine="567"/>
      </w:pPr>
      <w:r>
        <w:t>Вывод: в КГ</w:t>
      </w:r>
      <w:r w:rsidR="00854C06">
        <w:t xml:space="preserve">У </w:t>
      </w:r>
      <w:r>
        <w:t xml:space="preserve">«Центр социальных услуг «Алатау» Управления социального благосостояния города Алматы </w:t>
      </w:r>
      <w:r w:rsidR="00854C06">
        <w:t>коррупционные риски по линии урегулирования конфликта интересов отсутствуют.</w:t>
      </w:r>
    </w:p>
    <w:p w:rsidR="00BC4282" w:rsidRDefault="00854C06" w:rsidP="004147C6">
      <w:pPr>
        <w:spacing w:after="13"/>
        <w:ind w:left="0" w:firstLine="567"/>
      </w:pPr>
      <w:r>
        <w:rPr>
          <w:sz w:val="30"/>
        </w:rPr>
        <w:t>Рекомендации:</w:t>
      </w:r>
    </w:p>
    <w:p w:rsidR="004147C6" w:rsidRDefault="004147C6" w:rsidP="004147C6">
      <w:pPr>
        <w:pStyle w:val="a3"/>
        <w:spacing w:after="0" w:line="248" w:lineRule="auto"/>
        <w:ind w:left="0" w:firstLine="667"/>
      </w:pPr>
      <w:r>
        <w:t xml:space="preserve">1 </w:t>
      </w:r>
      <w:r w:rsidR="00854C06">
        <w:t xml:space="preserve">Специалисту по кадрам продолжить кадровую работу по выполнению трудовой дисциплины с проведением собрания с коллективом по вопросам исполнения трудовой </w:t>
      </w:r>
      <w:r>
        <w:t>дисциплины (на постоянной основе).</w:t>
      </w:r>
    </w:p>
    <w:p w:rsidR="00BC4282" w:rsidRDefault="00854C06" w:rsidP="004147C6">
      <w:pPr>
        <w:pStyle w:val="a3"/>
        <w:spacing w:after="0" w:line="248" w:lineRule="auto"/>
        <w:ind w:left="0" w:firstLine="709"/>
      </w:pPr>
      <w:r>
        <w:t xml:space="preserve">Рабочая группа по проведению внутреннего анализа </w:t>
      </w:r>
      <w:r w:rsidR="004147C6">
        <w:t>рисков КГ</w:t>
      </w:r>
      <w:r>
        <w:t xml:space="preserve">У </w:t>
      </w:r>
      <w:r w:rsidR="004147C6">
        <w:t>«Центр социальных услуг «Алатау» Управления социального благосостояния города Алматы:</w:t>
      </w:r>
    </w:p>
    <w:p w:rsidR="00BC4282" w:rsidRDefault="004147C6" w:rsidP="003A46A4">
      <w:pPr>
        <w:spacing w:after="0"/>
        <w:ind w:left="0" w:firstLine="567"/>
      </w:pPr>
      <w:r>
        <w:t>Члены рабочей группы:</w:t>
      </w:r>
    </w:p>
    <w:p w:rsidR="003A46A4" w:rsidRDefault="003A46A4" w:rsidP="003A46A4">
      <w:pPr>
        <w:spacing w:after="0" w:line="240" w:lineRule="auto"/>
        <w:ind w:left="0" w:firstLine="567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401"/>
        <w:gridCol w:w="3113"/>
      </w:tblGrid>
      <w:tr w:rsidR="003A46A4" w:rsidTr="008D54D6">
        <w:trPr>
          <w:trHeight w:val="556"/>
        </w:trPr>
        <w:tc>
          <w:tcPr>
            <w:tcW w:w="3823" w:type="dxa"/>
          </w:tcPr>
          <w:p w:rsidR="003A46A4" w:rsidRPr="008D54D6" w:rsidRDefault="003A46A4" w:rsidP="004147C6">
            <w:pPr>
              <w:spacing w:after="327"/>
              <w:ind w:left="0"/>
              <w:rPr>
                <w:b/>
              </w:rPr>
            </w:pPr>
            <w:r w:rsidRPr="008D54D6">
              <w:rPr>
                <w:b/>
              </w:rPr>
              <w:t>Заместитель директора по социальной работе</w:t>
            </w:r>
          </w:p>
        </w:tc>
        <w:tc>
          <w:tcPr>
            <w:tcW w:w="2401" w:type="dxa"/>
          </w:tcPr>
          <w:p w:rsidR="003A46A4" w:rsidRPr="008D54D6" w:rsidRDefault="003A46A4" w:rsidP="004147C6">
            <w:pPr>
              <w:spacing w:after="327"/>
              <w:ind w:left="0"/>
              <w:rPr>
                <w:b/>
              </w:rPr>
            </w:pPr>
          </w:p>
        </w:tc>
        <w:tc>
          <w:tcPr>
            <w:tcW w:w="3113" w:type="dxa"/>
          </w:tcPr>
          <w:p w:rsidR="003A46A4" w:rsidRPr="008D54D6" w:rsidRDefault="008D54D6" w:rsidP="004147C6">
            <w:pPr>
              <w:spacing w:after="327"/>
              <w:ind w:left="0"/>
              <w:rPr>
                <w:b/>
              </w:rPr>
            </w:pPr>
            <w:proofErr w:type="spellStart"/>
            <w:r w:rsidRPr="008D54D6">
              <w:rPr>
                <w:b/>
              </w:rPr>
              <w:t>Азимбаева</w:t>
            </w:r>
            <w:proofErr w:type="spellEnd"/>
            <w:r w:rsidRPr="008D54D6">
              <w:rPr>
                <w:b/>
              </w:rPr>
              <w:t xml:space="preserve"> Г.А.</w:t>
            </w:r>
          </w:p>
        </w:tc>
      </w:tr>
      <w:tr w:rsidR="003A46A4" w:rsidTr="008D54D6">
        <w:trPr>
          <w:trHeight w:val="556"/>
        </w:trPr>
        <w:tc>
          <w:tcPr>
            <w:tcW w:w="3823" w:type="dxa"/>
          </w:tcPr>
          <w:p w:rsidR="003A46A4" w:rsidRPr="008D54D6" w:rsidRDefault="003A46A4" w:rsidP="004147C6">
            <w:pPr>
              <w:spacing w:after="327"/>
              <w:ind w:left="0"/>
              <w:rPr>
                <w:b/>
              </w:rPr>
            </w:pPr>
            <w:r w:rsidRPr="008D54D6">
              <w:rPr>
                <w:b/>
              </w:rPr>
              <w:t>И.О. главного бухгалтера</w:t>
            </w:r>
          </w:p>
        </w:tc>
        <w:tc>
          <w:tcPr>
            <w:tcW w:w="2401" w:type="dxa"/>
          </w:tcPr>
          <w:p w:rsidR="003A46A4" w:rsidRPr="008D54D6" w:rsidRDefault="003A46A4" w:rsidP="004147C6">
            <w:pPr>
              <w:spacing w:after="327"/>
              <w:ind w:left="0"/>
              <w:rPr>
                <w:b/>
              </w:rPr>
            </w:pPr>
          </w:p>
        </w:tc>
        <w:tc>
          <w:tcPr>
            <w:tcW w:w="3113" w:type="dxa"/>
          </w:tcPr>
          <w:p w:rsidR="003A46A4" w:rsidRPr="008D54D6" w:rsidRDefault="008D54D6" w:rsidP="004147C6">
            <w:pPr>
              <w:spacing w:after="327"/>
              <w:ind w:left="0"/>
              <w:rPr>
                <w:b/>
              </w:rPr>
            </w:pPr>
            <w:proofErr w:type="spellStart"/>
            <w:r w:rsidRPr="008D54D6">
              <w:rPr>
                <w:b/>
              </w:rPr>
              <w:t>Шорманова</w:t>
            </w:r>
            <w:proofErr w:type="spellEnd"/>
            <w:r w:rsidRPr="008D54D6">
              <w:rPr>
                <w:b/>
              </w:rPr>
              <w:t xml:space="preserve"> Ж.И.</w:t>
            </w:r>
          </w:p>
        </w:tc>
      </w:tr>
      <w:tr w:rsidR="003A46A4" w:rsidTr="008D54D6">
        <w:trPr>
          <w:trHeight w:val="556"/>
        </w:trPr>
        <w:tc>
          <w:tcPr>
            <w:tcW w:w="3823" w:type="dxa"/>
          </w:tcPr>
          <w:p w:rsidR="003A46A4" w:rsidRPr="008D54D6" w:rsidRDefault="003A46A4" w:rsidP="004147C6">
            <w:pPr>
              <w:spacing w:after="327"/>
              <w:ind w:left="0"/>
              <w:rPr>
                <w:b/>
              </w:rPr>
            </w:pPr>
            <w:r w:rsidRPr="008D54D6">
              <w:rPr>
                <w:b/>
              </w:rPr>
              <w:t>Инспектор по кадрам</w:t>
            </w:r>
          </w:p>
        </w:tc>
        <w:tc>
          <w:tcPr>
            <w:tcW w:w="2401" w:type="dxa"/>
          </w:tcPr>
          <w:p w:rsidR="003A46A4" w:rsidRPr="008D54D6" w:rsidRDefault="003A46A4" w:rsidP="004147C6">
            <w:pPr>
              <w:spacing w:after="327"/>
              <w:ind w:left="0"/>
              <w:rPr>
                <w:b/>
              </w:rPr>
            </w:pPr>
          </w:p>
        </w:tc>
        <w:tc>
          <w:tcPr>
            <w:tcW w:w="3113" w:type="dxa"/>
          </w:tcPr>
          <w:p w:rsidR="003A46A4" w:rsidRPr="008D54D6" w:rsidRDefault="008D54D6" w:rsidP="004147C6">
            <w:pPr>
              <w:spacing w:after="327"/>
              <w:ind w:left="0"/>
              <w:rPr>
                <w:b/>
              </w:rPr>
            </w:pPr>
            <w:proofErr w:type="spellStart"/>
            <w:r w:rsidRPr="008D54D6">
              <w:rPr>
                <w:b/>
              </w:rPr>
              <w:t>Таменов</w:t>
            </w:r>
            <w:proofErr w:type="spellEnd"/>
            <w:r w:rsidRPr="008D54D6">
              <w:rPr>
                <w:b/>
              </w:rPr>
              <w:t xml:space="preserve"> Т.С.</w:t>
            </w:r>
          </w:p>
        </w:tc>
      </w:tr>
      <w:tr w:rsidR="003A46A4" w:rsidTr="008D54D6">
        <w:trPr>
          <w:trHeight w:val="556"/>
        </w:trPr>
        <w:tc>
          <w:tcPr>
            <w:tcW w:w="3823" w:type="dxa"/>
          </w:tcPr>
          <w:p w:rsidR="003A46A4" w:rsidRPr="008D54D6" w:rsidRDefault="003A46A4" w:rsidP="004147C6">
            <w:pPr>
              <w:spacing w:after="327"/>
              <w:ind w:left="0"/>
              <w:rPr>
                <w:b/>
              </w:rPr>
            </w:pPr>
            <w:r w:rsidRPr="008D54D6">
              <w:rPr>
                <w:b/>
              </w:rPr>
              <w:t>Социальный работник</w:t>
            </w:r>
          </w:p>
        </w:tc>
        <w:tc>
          <w:tcPr>
            <w:tcW w:w="2401" w:type="dxa"/>
          </w:tcPr>
          <w:p w:rsidR="003A46A4" w:rsidRPr="008D54D6" w:rsidRDefault="003A46A4" w:rsidP="004147C6">
            <w:pPr>
              <w:spacing w:after="327"/>
              <w:ind w:left="0"/>
              <w:rPr>
                <w:b/>
              </w:rPr>
            </w:pPr>
          </w:p>
        </w:tc>
        <w:tc>
          <w:tcPr>
            <w:tcW w:w="3113" w:type="dxa"/>
          </w:tcPr>
          <w:p w:rsidR="003A46A4" w:rsidRPr="008D54D6" w:rsidRDefault="008D54D6" w:rsidP="004147C6">
            <w:pPr>
              <w:spacing w:after="327"/>
              <w:ind w:left="0"/>
              <w:rPr>
                <w:b/>
              </w:rPr>
            </w:pPr>
            <w:proofErr w:type="spellStart"/>
            <w:r w:rsidRPr="008D54D6">
              <w:rPr>
                <w:b/>
              </w:rPr>
              <w:t>Мырзабаева</w:t>
            </w:r>
            <w:proofErr w:type="spellEnd"/>
            <w:r w:rsidRPr="008D54D6">
              <w:rPr>
                <w:b/>
              </w:rPr>
              <w:t xml:space="preserve"> А.Р.</w:t>
            </w:r>
          </w:p>
        </w:tc>
      </w:tr>
      <w:tr w:rsidR="003A46A4" w:rsidTr="008D54D6">
        <w:trPr>
          <w:trHeight w:val="556"/>
        </w:trPr>
        <w:tc>
          <w:tcPr>
            <w:tcW w:w="3823" w:type="dxa"/>
          </w:tcPr>
          <w:p w:rsidR="003A46A4" w:rsidRPr="008D54D6" w:rsidRDefault="003A46A4" w:rsidP="004147C6">
            <w:pPr>
              <w:spacing w:after="327"/>
              <w:ind w:left="0"/>
              <w:rPr>
                <w:b/>
              </w:rPr>
            </w:pPr>
            <w:r w:rsidRPr="008D54D6">
              <w:rPr>
                <w:b/>
              </w:rPr>
              <w:t>Врач терапевт</w:t>
            </w:r>
          </w:p>
        </w:tc>
        <w:tc>
          <w:tcPr>
            <w:tcW w:w="2401" w:type="dxa"/>
          </w:tcPr>
          <w:p w:rsidR="003A46A4" w:rsidRPr="008D54D6" w:rsidRDefault="003A46A4" w:rsidP="004147C6">
            <w:pPr>
              <w:spacing w:after="327"/>
              <w:ind w:left="0"/>
              <w:rPr>
                <w:b/>
              </w:rPr>
            </w:pPr>
          </w:p>
        </w:tc>
        <w:tc>
          <w:tcPr>
            <w:tcW w:w="3113" w:type="dxa"/>
          </w:tcPr>
          <w:p w:rsidR="003A46A4" w:rsidRPr="008D54D6" w:rsidRDefault="008D54D6" w:rsidP="004147C6">
            <w:pPr>
              <w:spacing w:after="327"/>
              <w:ind w:left="0"/>
              <w:rPr>
                <w:b/>
              </w:rPr>
            </w:pPr>
            <w:proofErr w:type="spellStart"/>
            <w:r w:rsidRPr="008D54D6">
              <w:rPr>
                <w:b/>
              </w:rPr>
              <w:t>Демеев</w:t>
            </w:r>
            <w:proofErr w:type="spellEnd"/>
            <w:r w:rsidRPr="008D54D6">
              <w:rPr>
                <w:b/>
              </w:rPr>
              <w:t xml:space="preserve"> Б.Д.</w:t>
            </w:r>
          </w:p>
        </w:tc>
      </w:tr>
    </w:tbl>
    <w:p w:rsidR="003A46A4" w:rsidRPr="008D54D6" w:rsidRDefault="008D54D6" w:rsidP="008D54D6">
      <w:pPr>
        <w:spacing w:after="327"/>
        <w:jc w:val="center"/>
        <w:rPr>
          <w:b/>
        </w:rPr>
      </w:pPr>
      <w:r w:rsidRPr="008D54D6">
        <w:rPr>
          <w:b/>
        </w:rPr>
        <w:t>Директор</w:t>
      </w:r>
      <w:r w:rsidRPr="008D54D6">
        <w:rPr>
          <w:b/>
        </w:rPr>
        <w:tab/>
      </w:r>
      <w:r w:rsidRPr="008D54D6">
        <w:rPr>
          <w:b/>
        </w:rPr>
        <w:tab/>
      </w:r>
      <w:r w:rsidRPr="008D54D6">
        <w:rPr>
          <w:b/>
        </w:rPr>
        <w:tab/>
      </w:r>
      <w:r w:rsidRPr="008D54D6">
        <w:rPr>
          <w:b/>
        </w:rPr>
        <w:tab/>
      </w:r>
      <w:r w:rsidRPr="008D54D6">
        <w:rPr>
          <w:b/>
        </w:rPr>
        <w:tab/>
      </w:r>
      <w:proofErr w:type="spellStart"/>
      <w:r w:rsidRPr="008D54D6">
        <w:rPr>
          <w:b/>
        </w:rPr>
        <w:t>Г.Касымова</w:t>
      </w:r>
      <w:proofErr w:type="spellEnd"/>
    </w:p>
    <w:sectPr w:rsidR="003A46A4" w:rsidRPr="008D54D6">
      <w:type w:val="continuous"/>
      <w:pgSz w:w="11900" w:h="16840"/>
      <w:pgMar w:top="1251" w:right="931" w:bottom="1146" w:left="16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46" style="width:.75pt;height:.75pt" coordsize="" o:spt="100" o:bullet="t" adj="0,,0" path="" stroked="f">
        <v:stroke joinstyle="miter"/>
        <v:imagedata r:id="rId1" o:title="image26"/>
        <v:formulas/>
        <v:path o:connecttype="segments"/>
      </v:shape>
    </w:pict>
  </w:numPicBullet>
  <w:numPicBullet w:numPicBulletId="1">
    <w:pict>
      <v:shape id="_x0000_i1047" style="width:.75pt;height:.75pt" coordsize="" o:spt="100" o:bullet="t" adj="0,,0" path="" stroked="f">
        <v:stroke joinstyle="miter"/>
        <v:imagedata r:id="rId2" o:title="image27"/>
        <v:formulas/>
        <v:path o:connecttype="segments"/>
      </v:shape>
    </w:pict>
  </w:numPicBullet>
  <w:abstractNum w:abstractNumId="0" w15:restartNumberingAfterBreak="0">
    <w:nsid w:val="0EED5DBB"/>
    <w:multiLevelType w:val="hybridMultilevel"/>
    <w:tmpl w:val="2F38F5EA"/>
    <w:lvl w:ilvl="0" w:tplc="CCFEEBC4">
      <w:start w:val="4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DAF056">
      <w:start w:val="1"/>
      <w:numFmt w:val="lowerLetter"/>
      <w:lvlText w:val="%2"/>
      <w:lvlJc w:val="left"/>
      <w:pPr>
        <w:ind w:left="1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962EC4">
      <w:start w:val="1"/>
      <w:numFmt w:val="lowerRoman"/>
      <w:lvlText w:val="%3"/>
      <w:lvlJc w:val="left"/>
      <w:pPr>
        <w:ind w:left="2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CCE67E">
      <w:start w:val="1"/>
      <w:numFmt w:val="decimal"/>
      <w:lvlText w:val="%4"/>
      <w:lvlJc w:val="left"/>
      <w:pPr>
        <w:ind w:left="2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2C4D6C">
      <w:start w:val="1"/>
      <w:numFmt w:val="lowerLetter"/>
      <w:lvlText w:val="%5"/>
      <w:lvlJc w:val="left"/>
      <w:pPr>
        <w:ind w:left="3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8ED8E4">
      <w:start w:val="1"/>
      <w:numFmt w:val="lowerRoman"/>
      <w:lvlText w:val="%6"/>
      <w:lvlJc w:val="left"/>
      <w:pPr>
        <w:ind w:left="4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E6D38">
      <w:start w:val="1"/>
      <w:numFmt w:val="decimal"/>
      <w:lvlText w:val="%7"/>
      <w:lvlJc w:val="left"/>
      <w:pPr>
        <w:ind w:left="5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2EA280">
      <w:start w:val="1"/>
      <w:numFmt w:val="lowerLetter"/>
      <w:lvlText w:val="%8"/>
      <w:lvlJc w:val="left"/>
      <w:pPr>
        <w:ind w:left="5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9E3B4A">
      <w:start w:val="1"/>
      <w:numFmt w:val="lowerRoman"/>
      <w:lvlText w:val="%9"/>
      <w:lvlJc w:val="left"/>
      <w:pPr>
        <w:ind w:left="6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340213"/>
    <w:multiLevelType w:val="hybridMultilevel"/>
    <w:tmpl w:val="6156A816"/>
    <w:lvl w:ilvl="0" w:tplc="F04AF504">
      <w:start w:val="1"/>
      <w:numFmt w:val="decimal"/>
      <w:lvlText w:val="%1.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82F492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3AD582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86C598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84C43C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7E9882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44DF06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EAD66C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1E0FA2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5F71BD"/>
    <w:multiLevelType w:val="hybridMultilevel"/>
    <w:tmpl w:val="05D4E304"/>
    <w:lvl w:ilvl="0" w:tplc="2BC21188">
      <w:start w:val="1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3" w15:restartNumberingAfterBreak="0">
    <w:nsid w:val="45953B33"/>
    <w:multiLevelType w:val="hybridMultilevel"/>
    <w:tmpl w:val="B3A69872"/>
    <w:lvl w:ilvl="0" w:tplc="CE60BA0C">
      <w:start w:val="1"/>
      <w:numFmt w:val="bullet"/>
      <w:lvlText w:val="•"/>
      <w:lvlPicBulletId w:val="1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BE759C">
      <w:start w:val="1"/>
      <w:numFmt w:val="bullet"/>
      <w:lvlText w:val="o"/>
      <w:lvlJc w:val="left"/>
      <w:pPr>
        <w:ind w:left="2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B8A65E">
      <w:start w:val="1"/>
      <w:numFmt w:val="bullet"/>
      <w:lvlText w:val="▪"/>
      <w:lvlJc w:val="left"/>
      <w:pPr>
        <w:ind w:left="2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808D7C">
      <w:start w:val="1"/>
      <w:numFmt w:val="bullet"/>
      <w:lvlText w:val="•"/>
      <w:lvlJc w:val="left"/>
      <w:pPr>
        <w:ind w:left="3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9CAC0E">
      <w:start w:val="1"/>
      <w:numFmt w:val="bullet"/>
      <w:lvlText w:val="o"/>
      <w:lvlJc w:val="left"/>
      <w:pPr>
        <w:ind w:left="4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54DB24">
      <w:start w:val="1"/>
      <w:numFmt w:val="bullet"/>
      <w:lvlText w:val="▪"/>
      <w:lvlJc w:val="left"/>
      <w:pPr>
        <w:ind w:left="4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F4B10A">
      <w:start w:val="1"/>
      <w:numFmt w:val="bullet"/>
      <w:lvlText w:val="•"/>
      <w:lvlJc w:val="left"/>
      <w:pPr>
        <w:ind w:left="5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8A55E0">
      <w:start w:val="1"/>
      <w:numFmt w:val="bullet"/>
      <w:lvlText w:val="o"/>
      <w:lvlJc w:val="left"/>
      <w:pPr>
        <w:ind w:left="6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88250A">
      <w:start w:val="1"/>
      <w:numFmt w:val="bullet"/>
      <w:lvlText w:val="▪"/>
      <w:lvlJc w:val="left"/>
      <w:pPr>
        <w:ind w:left="7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610409"/>
    <w:multiLevelType w:val="hybridMultilevel"/>
    <w:tmpl w:val="DEF61460"/>
    <w:lvl w:ilvl="0" w:tplc="0896B18C">
      <w:start w:val="1"/>
      <w:numFmt w:val="bullet"/>
      <w:lvlText w:val="•"/>
      <w:lvlPicBulletId w:val="0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2CF8CE">
      <w:start w:val="1"/>
      <w:numFmt w:val="bullet"/>
      <w:lvlText w:val="o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2A6BC4">
      <w:start w:val="1"/>
      <w:numFmt w:val="bullet"/>
      <w:lvlText w:val="▪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10BFC0">
      <w:start w:val="1"/>
      <w:numFmt w:val="bullet"/>
      <w:lvlText w:val="•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0E3392">
      <w:start w:val="1"/>
      <w:numFmt w:val="bullet"/>
      <w:lvlText w:val="o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8ED4E2">
      <w:start w:val="1"/>
      <w:numFmt w:val="bullet"/>
      <w:lvlText w:val="▪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C215D2">
      <w:start w:val="1"/>
      <w:numFmt w:val="bullet"/>
      <w:lvlText w:val="•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C014FC">
      <w:start w:val="1"/>
      <w:numFmt w:val="bullet"/>
      <w:lvlText w:val="o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D8F286">
      <w:start w:val="1"/>
      <w:numFmt w:val="bullet"/>
      <w:lvlText w:val="▪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82"/>
    <w:rsid w:val="000D7C08"/>
    <w:rsid w:val="001748AA"/>
    <w:rsid w:val="003A46A4"/>
    <w:rsid w:val="004147C6"/>
    <w:rsid w:val="0057508A"/>
    <w:rsid w:val="006B3BF1"/>
    <w:rsid w:val="0077329B"/>
    <w:rsid w:val="00854C06"/>
    <w:rsid w:val="008D54D6"/>
    <w:rsid w:val="0090204C"/>
    <w:rsid w:val="0098432D"/>
    <w:rsid w:val="00A9775C"/>
    <w:rsid w:val="00B37A4E"/>
    <w:rsid w:val="00B66A0A"/>
    <w:rsid w:val="00BC4282"/>
    <w:rsid w:val="00C27E6B"/>
    <w:rsid w:val="00C62402"/>
    <w:rsid w:val="00C911B0"/>
    <w:rsid w:val="00D1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617BE"/>
  <w15:docId w15:val="{32C2852E-332B-4246-89AD-F6138763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7C6"/>
    <w:pPr>
      <w:spacing w:after="15" w:line="249" w:lineRule="auto"/>
      <w:ind w:left="1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7C6"/>
    <w:pPr>
      <w:ind w:left="720"/>
      <w:contextualSpacing/>
    </w:pPr>
  </w:style>
  <w:style w:type="table" w:styleId="a4">
    <w:name w:val="Table Grid"/>
    <w:basedOn w:val="a1"/>
    <w:uiPriority w:val="39"/>
    <w:rsid w:val="003A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7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775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1" Type="http://schemas.openxmlformats.org/officeDocument/2006/relationships/theme" Target="theme/theme1.xml"/><Relationship Id="rId5" Type="http://schemas.openxmlformats.org/officeDocument/2006/relationships/image" Target="media/image3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10</cp:revision>
  <cp:lastPrinted>2022-06-15T08:24:00Z</cp:lastPrinted>
  <dcterms:created xsi:type="dcterms:W3CDTF">2022-06-15T03:41:00Z</dcterms:created>
  <dcterms:modified xsi:type="dcterms:W3CDTF">2022-06-15T08:33:00Z</dcterms:modified>
</cp:coreProperties>
</file>